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8F9C">
      <w:pPr>
        <w:spacing w:line="480" w:lineRule="auto"/>
        <w:ind w:firstLine="643" w:firstLineChars="200"/>
        <w:jc w:val="center"/>
        <w:rPr>
          <w:rFonts w:ascii="仿宋" w:hAnsi="仿宋" w:eastAsia="仿宋" w:cs="微软雅黑"/>
          <w:b/>
          <w:bCs/>
          <w:sz w:val="32"/>
          <w:szCs w:val="32"/>
        </w:rPr>
      </w:pPr>
      <w:bookmarkStart w:id="0" w:name="_GoBack"/>
      <w:r>
        <w:rPr>
          <w:rFonts w:hint="eastAsia" w:ascii="仿宋" w:hAnsi="仿宋" w:eastAsia="仿宋" w:cs="微软雅黑"/>
          <w:b/>
          <w:bCs/>
          <w:sz w:val="32"/>
          <w:szCs w:val="32"/>
        </w:rPr>
        <w:t>设备需求参数</w:t>
      </w:r>
    </w:p>
    <w:bookmarkEnd w:id="0"/>
    <w:tbl>
      <w:tblPr>
        <w:tblStyle w:val="7"/>
        <w:tblpPr w:leftFromText="180" w:rightFromText="180" w:vertAnchor="text" w:horzAnchor="page" w:tblpX="991" w:tblpY="1051"/>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30"/>
        <w:gridCol w:w="6622"/>
      </w:tblGrid>
      <w:tr w14:paraId="27C4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F1F1F1" w:themeFill="background1" w:themeFillShade="F2"/>
            <w:vAlign w:val="center"/>
          </w:tcPr>
          <w:p w14:paraId="14781144">
            <w:pPr>
              <w:spacing w:line="480" w:lineRule="auto"/>
              <w:jc w:val="center"/>
              <w:rPr>
                <w:rFonts w:ascii="仿宋" w:hAnsi="仿宋" w:eastAsia="仿宋" w:cs="微软雅黑"/>
                <w:b/>
                <w:bCs/>
                <w:sz w:val="22"/>
              </w:rPr>
            </w:pPr>
            <w:r>
              <w:rPr>
                <w:rFonts w:hint="eastAsia" w:ascii="仿宋" w:hAnsi="仿宋" w:eastAsia="仿宋" w:cs="微软雅黑"/>
                <w:b/>
                <w:bCs/>
                <w:sz w:val="22"/>
              </w:rPr>
              <w:t>序号</w:t>
            </w:r>
          </w:p>
        </w:tc>
        <w:tc>
          <w:tcPr>
            <w:tcW w:w="2030" w:type="dxa"/>
            <w:shd w:val="clear" w:color="auto" w:fill="F1F1F1" w:themeFill="background1" w:themeFillShade="F2"/>
            <w:vAlign w:val="center"/>
          </w:tcPr>
          <w:p w14:paraId="5D3B1D04">
            <w:pPr>
              <w:spacing w:line="480" w:lineRule="auto"/>
              <w:jc w:val="center"/>
              <w:rPr>
                <w:rFonts w:ascii="仿宋" w:hAnsi="仿宋" w:eastAsia="仿宋" w:cs="微软雅黑"/>
                <w:b/>
                <w:bCs/>
                <w:sz w:val="22"/>
              </w:rPr>
            </w:pPr>
            <w:r>
              <w:rPr>
                <w:rFonts w:hint="eastAsia" w:ascii="仿宋" w:hAnsi="仿宋" w:eastAsia="仿宋" w:cs="微软雅黑"/>
                <w:b/>
                <w:bCs/>
                <w:sz w:val="22"/>
              </w:rPr>
              <w:t>产品名称</w:t>
            </w:r>
          </w:p>
        </w:tc>
        <w:tc>
          <w:tcPr>
            <w:tcW w:w="6622" w:type="dxa"/>
            <w:shd w:val="clear" w:color="auto" w:fill="F1F1F1" w:themeFill="background1" w:themeFillShade="F2"/>
            <w:vAlign w:val="center"/>
          </w:tcPr>
          <w:p w14:paraId="6BAB5AB7">
            <w:pPr>
              <w:spacing w:line="480" w:lineRule="auto"/>
              <w:jc w:val="center"/>
              <w:rPr>
                <w:rFonts w:ascii="仿宋" w:hAnsi="仿宋" w:eastAsia="仿宋" w:cs="微软雅黑"/>
                <w:b/>
                <w:bCs/>
                <w:sz w:val="22"/>
              </w:rPr>
            </w:pPr>
            <w:r>
              <w:rPr>
                <w:rFonts w:hint="eastAsia" w:ascii="仿宋" w:hAnsi="仿宋" w:eastAsia="仿宋" w:cs="微软雅黑"/>
                <w:b/>
                <w:bCs/>
                <w:sz w:val="22"/>
              </w:rPr>
              <w:t>参数需求</w:t>
            </w:r>
          </w:p>
        </w:tc>
      </w:tr>
      <w:tr w14:paraId="7B03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vAlign w:val="center"/>
          </w:tcPr>
          <w:p w14:paraId="257BC38E">
            <w:pPr>
              <w:spacing w:line="480" w:lineRule="auto"/>
              <w:jc w:val="center"/>
              <w:rPr>
                <w:rFonts w:ascii="仿宋" w:hAnsi="仿宋" w:eastAsia="仿宋" w:cs="微软雅黑"/>
                <w:sz w:val="22"/>
              </w:rPr>
            </w:pPr>
            <w:r>
              <w:rPr>
                <w:rFonts w:hint="eastAsia" w:ascii="仿宋" w:hAnsi="仿宋" w:eastAsia="仿宋" w:cs="微软雅黑"/>
                <w:sz w:val="22"/>
              </w:rPr>
              <w:t>1</w:t>
            </w:r>
          </w:p>
        </w:tc>
        <w:tc>
          <w:tcPr>
            <w:tcW w:w="2030" w:type="dxa"/>
            <w:shd w:val="clear" w:color="auto" w:fill="auto"/>
            <w:vAlign w:val="center"/>
          </w:tcPr>
          <w:p w14:paraId="1809EFD0">
            <w:pPr>
              <w:spacing w:line="480" w:lineRule="auto"/>
              <w:jc w:val="center"/>
              <w:rPr>
                <w:rFonts w:ascii="仿宋" w:hAnsi="仿宋" w:eastAsia="仿宋" w:cs="微软雅黑"/>
                <w:sz w:val="22"/>
              </w:rPr>
            </w:pPr>
            <w:r>
              <w:rPr>
                <w:rFonts w:hint="eastAsia" w:ascii="仿宋" w:hAnsi="仿宋" w:eastAsia="仿宋" w:cs="微软雅黑"/>
                <w:color w:val="000000"/>
                <w:kern w:val="0"/>
                <w:sz w:val="22"/>
                <w:lang w:bidi="ar"/>
              </w:rPr>
              <w:t>预约书柜</w:t>
            </w:r>
          </w:p>
        </w:tc>
        <w:tc>
          <w:tcPr>
            <w:tcW w:w="6622" w:type="dxa"/>
            <w:shd w:val="clear" w:color="auto" w:fill="auto"/>
            <w:vAlign w:val="center"/>
          </w:tcPr>
          <w:p w14:paraId="775CA177">
            <w:pPr>
              <w:spacing w:line="480" w:lineRule="auto"/>
              <w:rPr>
                <w:rFonts w:ascii="仿宋" w:hAnsi="仿宋" w:eastAsia="仿宋"/>
                <w:sz w:val="22"/>
              </w:rPr>
            </w:pPr>
            <w:r>
              <w:rPr>
                <w:rFonts w:hint="eastAsia" w:ascii="仿宋" w:hAnsi="仿宋" w:eastAsia="仿宋"/>
                <w:b/>
                <w:bCs/>
                <w:sz w:val="22"/>
              </w:rPr>
              <w:t>一、功能要求</w:t>
            </w:r>
          </w:p>
          <w:p w14:paraId="37AB4F5D">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应用软件保证连续使用</w:t>
            </w:r>
            <w:r>
              <w:rPr>
                <w:rFonts w:ascii="仿宋" w:hAnsi="仿宋" w:eastAsia="仿宋"/>
                <w:sz w:val="22"/>
              </w:rPr>
              <w:t>160小时以上无故障</w:t>
            </w:r>
            <w:r>
              <w:rPr>
                <w:rFonts w:hint="eastAsia" w:ascii="仿宋" w:hAnsi="仿宋" w:eastAsia="仿宋"/>
                <w:sz w:val="22"/>
              </w:rPr>
              <w:t>；</w:t>
            </w:r>
          </w:p>
          <w:p w14:paraId="4210634C">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系统可实现远程诊断、监控等一系列操作；</w:t>
            </w:r>
          </w:p>
          <w:p w14:paraId="09BE4383">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读者通过图书馆网站，预约单本或多本图书，图书馆工作人员接到预约通知后，将读者预约的图书放入预约书柜的书格中，系统可自动通过短信、邮件或微信的方式通知读者在规定的时间内到预约书柜刷借书卡取所预约的图书；</w:t>
            </w:r>
          </w:p>
          <w:p w14:paraId="6330B774">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读者刷卡自动打开对应预约图书的书格门；</w:t>
            </w:r>
          </w:p>
          <w:p w14:paraId="5EFAC630">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馆员摆放图书时，可自动分配书格；</w:t>
            </w:r>
          </w:p>
          <w:p w14:paraId="5592129A">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对人员操作，具备语音引导，语音提示功能；</w:t>
            </w:r>
          </w:p>
          <w:p w14:paraId="5FE07EC0">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具备书格门开关状态自动检测功能；</w:t>
            </w:r>
          </w:p>
          <w:p w14:paraId="426B7FAA">
            <w:pPr>
              <w:pStyle w:val="10"/>
              <w:numPr>
                <w:ilvl w:val="0"/>
                <w:numId w:val="1"/>
              </w:numPr>
              <w:spacing w:line="480" w:lineRule="auto"/>
              <w:ind w:firstLineChars="0"/>
              <w:rPr>
                <w:rFonts w:ascii="仿宋" w:hAnsi="仿宋" w:eastAsia="仿宋"/>
                <w:sz w:val="22"/>
              </w:rPr>
            </w:pPr>
            <w:r>
              <w:rPr>
                <w:rFonts w:ascii="仿宋" w:hAnsi="仿宋" w:eastAsia="仿宋"/>
                <w:sz w:val="22"/>
              </w:rPr>
              <w:t>预约取书柜设备支持借阅功能，读者看到自己喜欢的图书可直接刷借书卡二维码进行借阅</w:t>
            </w:r>
          </w:p>
          <w:p w14:paraId="310D7686">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支持读者还书，续借功能；</w:t>
            </w:r>
          </w:p>
          <w:p w14:paraId="6C88BD61">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系统支持图书上架，图书下架，图书放在读写区域，系统</w:t>
            </w:r>
            <w:r>
              <w:rPr>
                <w:rFonts w:ascii="仿宋" w:hAnsi="仿宋" w:eastAsia="仿宋"/>
                <w:sz w:val="22"/>
              </w:rPr>
              <w:t>上架</w:t>
            </w:r>
            <w:r>
              <w:rPr>
                <w:rFonts w:hint="eastAsia" w:ascii="仿宋" w:hAnsi="仿宋" w:eastAsia="仿宋"/>
                <w:sz w:val="22"/>
              </w:rPr>
              <w:t>由</w:t>
            </w:r>
            <w:r>
              <w:rPr>
                <w:rFonts w:ascii="仿宋" w:hAnsi="仿宋" w:eastAsia="仿宋"/>
                <w:sz w:val="22"/>
              </w:rPr>
              <w:t>馆员指定架位</w:t>
            </w:r>
            <w:r>
              <w:rPr>
                <w:rFonts w:hint="eastAsia" w:ascii="仿宋" w:hAnsi="仿宋" w:eastAsia="仿宋"/>
                <w:sz w:val="22"/>
              </w:rPr>
              <w:t>，</w:t>
            </w:r>
            <w:r>
              <w:rPr>
                <w:rFonts w:ascii="仿宋" w:hAnsi="仿宋" w:eastAsia="仿宋"/>
                <w:sz w:val="22"/>
              </w:rPr>
              <w:t>还书随机架位</w:t>
            </w:r>
            <w:r>
              <w:rPr>
                <w:rFonts w:hint="eastAsia" w:ascii="仿宋" w:hAnsi="仿宋" w:eastAsia="仿宋"/>
                <w:sz w:val="22"/>
              </w:rPr>
              <w:t>分配单元格；</w:t>
            </w:r>
          </w:p>
          <w:p w14:paraId="54D6361C">
            <w:pPr>
              <w:pStyle w:val="10"/>
              <w:numPr>
                <w:ilvl w:val="0"/>
                <w:numId w:val="1"/>
              </w:numPr>
              <w:spacing w:line="480" w:lineRule="auto"/>
              <w:ind w:firstLineChars="0"/>
              <w:rPr>
                <w:rFonts w:ascii="仿宋" w:hAnsi="仿宋" w:eastAsia="仿宋"/>
                <w:sz w:val="22"/>
              </w:rPr>
            </w:pPr>
            <w:r>
              <w:rPr>
                <w:rFonts w:hint="eastAsia" w:ascii="仿宋" w:hAnsi="仿宋" w:eastAsia="仿宋"/>
                <w:sz w:val="22"/>
              </w:rPr>
              <w:t>模块化设计，支持一个主柜</w:t>
            </w:r>
            <w:r>
              <w:rPr>
                <w:rFonts w:ascii="仿宋" w:hAnsi="仿宋" w:eastAsia="仿宋"/>
                <w:sz w:val="22"/>
              </w:rPr>
              <w:t>+多个副柜拓展应用</w:t>
            </w:r>
            <w:r>
              <w:rPr>
                <w:rFonts w:hint="eastAsia" w:ascii="仿宋" w:hAnsi="仿宋" w:eastAsia="仿宋"/>
                <w:sz w:val="22"/>
              </w:rPr>
              <w:t>；</w:t>
            </w:r>
          </w:p>
          <w:p w14:paraId="38E6C463">
            <w:pPr>
              <w:pStyle w:val="10"/>
              <w:widowControl/>
              <w:numPr>
                <w:ilvl w:val="0"/>
                <w:numId w:val="1"/>
              </w:numPr>
              <w:adjustRightInd w:val="0"/>
              <w:spacing w:line="480" w:lineRule="auto"/>
              <w:ind w:firstLineChars="0"/>
              <w:jc w:val="left"/>
              <w:rPr>
                <w:rFonts w:ascii="仿宋" w:hAnsi="仿宋" w:eastAsia="仿宋" w:cs="宋体"/>
                <w:sz w:val="22"/>
              </w:rPr>
            </w:pPr>
            <w:r>
              <w:rPr>
                <w:rFonts w:hint="eastAsia" w:ascii="仿宋" w:hAnsi="仿宋" w:eastAsia="仿宋" w:cs="宋体"/>
                <w:sz w:val="22"/>
              </w:rPr>
              <w:t>可自动检测设备状态，自动实现内部设备的监测和控制；</w:t>
            </w:r>
          </w:p>
          <w:p w14:paraId="0808D93E">
            <w:pPr>
              <w:pStyle w:val="10"/>
              <w:widowControl/>
              <w:numPr>
                <w:ilvl w:val="0"/>
                <w:numId w:val="1"/>
              </w:numPr>
              <w:adjustRightInd w:val="0"/>
              <w:spacing w:line="480" w:lineRule="auto"/>
              <w:ind w:firstLineChars="0"/>
              <w:jc w:val="left"/>
              <w:rPr>
                <w:rFonts w:ascii="仿宋" w:hAnsi="仿宋" w:eastAsia="仿宋" w:cs="宋体"/>
                <w:sz w:val="22"/>
              </w:rPr>
            </w:pPr>
            <w:r>
              <w:rPr>
                <w:rFonts w:hint="eastAsia" w:ascii="仿宋" w:hAnsi="仿宋" w:eastAsia="仿宋" w:cs="宋体"/>
                <w:sz w:val="22"/>
              </w:rPr>
              <w:t>显示器下方内置还书箱，可归还异形/大型图书操作；</w:t>
            </w:r>
          </w:p>
          <w:p w14:paraId="5682D9BE">
            <w:pPr>
              <w:spacing w:line="480" w:lineRule="auto"/>
              <w:rPr>
                <w:rFonts w:ascii="仿宋" w:hAnsi="仿宋" w:eastAsia="仿宋" w:cs="宋体"/>
                <w:color w:val="00B050"/>
                <w:sz w:val="22"/>
              </w:rPr>
            </w:pPr>
            <w:r>
              <w:rPr>
                <w:rFonts w:hint="eastAsia" w:ascii="仿宋" w:hAnsi="仿宋" w:eastAsia="仿宋" w:cs="宋体"/>
                <w:sz w:val="22"/>
              </w:rPr>
              <w:t>14、可支持办理虚拟读者证。</w:t>
            </w:r>
          </w:p>
          <w:p w14:paraId="74E82D08">
            <w:pPr>
              <w:spacing w:line="480" w:lineRule="auto"/>
              <w:rPr>
                <w:rFonts w:ascii="仿宋" w:hAnsi="仿宋" w:eastAsia="仿宋"/>
                <w:bCs/>
                <w:sz w:val="22"/>
              </w:rPr>
            </w:pPr>
            <w:r>
              <w:rPr>
                <w:rFonts w:hint="eastAsia" w:ascii="仿宋" w:hAnsi="仿宋" w:eastAsia="仿宋"/>
                <w:b/>
                <w:sz w:val="22"/>
              </w:rPr>
              <w:t>二、性能要求</w:t>
            </w:r>
          </w:p>
          <w:p w14:paraId="0A14720A">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RFID工作频段：920~925MHz，符合ISO18000-6C标准；</w:t>
            </w:r>
          </w:p>
          <w:p w14:paraId="4D678CEC">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重量：&lt;25</w:t>
            </w:r>
            <w:r>
              <w:rPr>
                <w:rFonts w:ascii="仿宋" w:hAnsi="仿宋" w:eastAsia="仿宋" w:cs="SourceHanSansCN-Regular"/>
                <w:kern w:val="0"/>
                <w:sz w:val="22"/>
              </w:rPr>
              <w:t>0kg</w:t>
            </w:r>
            <w:r>
              <w:rPr>
                <w:rFonts w:hint="eastAsia" w:ascii="仿宋" w:hAnsi="仿宋" w:eastAsia="仿宋" w:cs="SourceHanSansCN-Regular"/>
                <w:kern w:val="0"/>
                <w:sz w:val="22"/>
              </w:rPr>
              <w:t>（单主柜120本）；</w:t>
            </w:r>
          </w:p>
          <w:p w14:paraId="189628C8">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sz w:val="22"/>
              </w:rPr>
              <w:t>书仓尺寸：</w:t>
            </w:r>
            <w:r>
              <w:rPr>
                <w:rFonts w:ascii="仿宋" w:hAnsi="仿宋" w:eastAsia="仿宋"/>
                <w:sz w:val="22"/>
              </w:rPr>
              <w:t>高x宽x深</w:t>
            </w:r>
            <w:r>
              <w:rPr>
                <w:rFonts w:hint="eastAsia" w:ascii="仿宋" w:hAnsi="仿宋" w:eastAsia="仿宋"/>
                <w:sz w:val="22"/>
              </w:rPr>
              <w:t>≥</w:t>
            </w:r>
            <w:r>
              <w:rPr>
                <w:rFonts w:ascii="仿宋" w:hAnsi="仿宋" w:eastAsia="仿宋"/>
                <w:sz w:val="22"/>
              </w:rPr>
              <w:t>293x33x220mm</w:t>
            </w:r>
            <w:r>
              <w:rPr>
                <w:rFonts w:hint="eastAsia" w:ascii="仿宋" w:hAnsi="仿宋" w:eastAsia="仿宋"/>
                <w:sz w:val="22"/>
              </w:rPr>
              <w:t>；</w:t>
            </w:r>
          </w:p>
          <w:p w14:paraId="53A73B79">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显示屏：≧</w:t>
            </w:r>
            <w:r>
              <w:rPr>
                <w:rFonts w:ascii="仿宋" w:hAnsi="仿宋" w:eastAsia="仿宋" w:cs="SourceHanSansCN-Regular"/>
                <w:kern w:val="0"/>
                <w:sz w:val="22"/>
              </w:rPr>
              <w:t>21</w:t>
            </w:r>
            <w:r>
              <w:rPr>
                <w:rFonts w:hint="eastAsia" w:ascii="仿宋" w:hAnsi="仿宋" w:eastAsia="仿宋" w:cs="SourceHanSansCN-Regular"/>
                <w:kern w:val="0"/>
                <w:sz w:val="22"/>
              </w:rPr>
              <w:t>吋电容式触摸屏；</w:t>
            </w:r>
          </w:p>
          <w:p w14:paraId="51A18159">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工作电压：</w:t>
            </w:r>
            <w:r>
              <w:rPr>
                <w:rFonts w:ascii="仿宋" w:hAnsi="仿宋" w:eastAsia="仿宋" w:cs="SourceHanSansCN-Regular"/>
                <w:kern w:val="0"/>
                <w:sz w:val="22"/>
              </w:rPr>
              <w:t>180-240V</w:t>
            </w:r>
            <w:r>
              <w:rPr>
                <w:rFonts w:hint="eastAsia" w:ascii="仿宋" w:hAnsi="仿宋" w:eastAsia="仿宋" w:cs="SourceHanSansCN-Regular"/>
                <w:kern w:val="0"/>
                <w:sz w:val="22"/>
              </w:rPr>
              <w:t>；</w:t>
            </w:r>
          </w:p>
          <w:p w14:paraId="3BEC1EDB">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主柜功耗：平均功率≤24</w:t>
            </w:r>
            <w:r>
              <w:rPr>
                <w:rFonts w:ascii="仿宋" w:hAnsi="仿宋" w:eastAsia="仿宋" w:cs="SourceHanSansCN-Regular"/>
                <w:kern w:val="0"/>
                <w:sz w:val="22"/>
              </w:rPr>
              <w:t>0W</w:t>
            </w:r>
            <w:r>
              <w:rPr>
                <w:rFonts w:hint="eastAsia" w:ascii="仿宋" w:hAnsi="仿宋" w:eastAsia="仿宋" w:cs="SourceHanSansCN-Regular"/>
                <w:kern w:val="0"/>
                <w:sz w:val="22"/>
              </w:rPr>
              <w:t>；</w:t>
            </w:r>
          </w:p>
          <w:p w14:paraId="6C688422">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工作温度：</w:t>
            </w:r>
            <w:r>
              <w:rPr>
                <w:rFonts w:ascii="仿宋" w:hAnsi="仿宋" w:eastAsia="仿宋" w:cs="SourceHanSansCN-Regular"/>
                <w:kern w:val="0"/>
                <w:sz w:val="22"/>
              </w:rPr>
              <w:t>0</w:t>
            </w:r>
            <w:r>
              <w:rPr>
                <w:rFonts w:hint="eastAsia" w:ascii="仿宋" w:hAnsi="仿宋" w:eastAsia="仿宋" w:cs="SourceHanSansCN-Regular"/>
                <w:kern w:val="0"/>
                <w:sz w:val="22"/>
              </w:rPr>
              <w:t>℃～</w:t>
            </w:r>
            <w:r>
              <w:rPr>
                <w:rFonts w:ascii="仿宋" w:hAnsi="仿宋" w:eastAsia="仿宋" w:cs="SourceHanSansCN-Regular"/>
                <w:kern w:val="0"/>
                <w:sz w:val="22"/>
              </w:rPr>
              <w:t>+40</w:t>
            </w:r>
            <w:r>
              <w:rPr>
                <w:rFonts w:hint="eastAsia" w:ascii="仿宋" w:hAnsi="仿宋" w:eastAsia="仿宋" w:cs="SourceHanSansCN-Regular"/>
                <w:kern w:val="0"/>
                <w:sz w:val="22"/>
              </w:rPr>
              <w:t>℃；</w:t>
            </w:r>
          </w:p>
          <w:p w14:paraId="00A1FE9F">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工作湿度：≤</w:t>
            </w:r>
            <w:r>
              <w:rPr>
                <w:rFonts w:ascii="仿宋" w:hAnsi="仿宋" w:eastAsia="仿宋" w:cs="SourceHanSansCN-Regular"/>
                <w:kern w:val="0"/>
                <w:sz w:val="22"/>
              </w:rPr>
              <w:t>90% RH</w:t>
            </w:r>
            <w:r>
              <w:rPr>
                <w:rFonts w:hint="eastAsia" w:ascii="仿宋" w:hAnsi="仿宋" w:eastAsia="仿宋" w:cs="SourceHanSansCN-Regular"/>
                <w:kern w:val="0"/>
                <w:sz w:val="22"/>
              </w:rPr>
              <w:t>（无凝露）；</w:t>
            </w:r>
          </w:p>
          <w:p w14:paraId="61B1CD63">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操作系统：</w:t>
            </w:r>
            <w:r>
              <w:rPr>
                <w:rFonts w:ascii="仿宋" w:hAnsi="仿宋" w:eastAsia="仿宋" w:cs="SourceHanSansCN-Regular"/>
                <w:kern w:val="0"/>
                <w:sz w:val="22"/>
              </w:rPr>
              <w:t>Windows 7</w:t>
            </w:r>
            <w:r>
              <w:rPr>
                <w:rFonts w:hint="eastAsia" w:ascii="仿宋" w:hAnsi="仿宋" w:eastAsia="仿宋" w:cs="SourceHanSansCN-Regular"/>
                <w:kern w:val="0"/>
                <w:sz w:val="22"/>
              </w:rPr>
              <w:t>；</w:t>
            </w:r>
          </w:p>
          <w:p w14:paraId="7D212E92">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连续工作时间：</w:t>
            </w:r>
            <w:r>
              <w:rPr>
                <w:rFonts w:ascii="仿宋" w:hAnsi="仿宋" w:eastAsia="仿宋" w:cs="SourceHanSansCN-Regular"/>
                <w:kern w:val="0"/>
                <w:sz w:val="22"/>
              </w:rPr>
              <w:t>7x24</w:t>
            </w:r>
            <w:r>
              <w:rPr>
                <w:rFonts w:hint="eastAsia" w:ascii="仿宋" w:hAnsi="仿宋" w:eastAsia="仿宋" w:cs="SourceHanSansCN-Regular"/>
                <w:kern w:val="0"/>
                <w:sz w:val="22"/>
              </w:rPr>
              <w:t>小时；</w:t>
            </w:r>
          </w:p>
          <w:p w14:paraId="7D049A03">
            <w:pPr>
              <w:pStyle w:val="10"/>
              <w:numPr>
                <w:ilvl w:val="0"/>
                <w:numId w:val="2"/>
              </w:numPr>
              <w:spacing w:line="480" w:lineRule="auto"/>
              <w:ind w:firstLineChars="0"/>
              <w:rPr>
                <w:rFonts w:ascii="仿宋" w:hAnsi="仿宋" w:eastAsia="仿宋" w:cs="SourceHanSansCN-Regular"/>
                <w:kern w:val="0"/>
                <w:sz w:val="22"/>
              </w:rPr>
            </w:pPr>
            <w:r>
              <w:rPr>
                <w:rFonts w:hint="eastAsia" w:ascii="仿宋" w:hAnsi="仿宋" w:eastAsia="仿宋" w:cs="SourceHanSansCN-Regular"/>
                <w:kern w:val="0"/>
                <w:sz w:val="22"/>
              </w:rPr>
              <w:t>配套软件：图书自助借还系统。</w:t>
            </w:r>
          </w:p>
          <w:p w14:paraId="34955269">
            <w:pPr>
              <w:spacing w:line="480" w:lineRule="auto"/>
              <w:rPr>
                <w:rFonts w:ascii="仿宋" w:hAnsi="仿宋" w:eastAsia="仿宋" w:cs="SourceHanSansCN-Regular"/>
                <w:kern w:val="0"/>
                <w:sz w:val="22"/>
              </w:rPr>
            </w:pPr>
            <w:r>
              <w:rPr>
                <w:rFonts w:hint="eastAsia" w:ascii="仿宋" w:hAnsi="仿宋" w:eastAsia="仿宋"/>
                <w:b/>
                <w:sz w:val="22"/>
              </w:rPr>
              <w:t>三、服务要求</w:t>
            </w:r>
          </w:p>
          <w:p w14:paraId="5F876095">
            <w:pPr>
              <w:pStyle w:val="10"/>
              <w:numPr>
                <w:ilvl w:val="0"/>
                <w:numId w:val="3"/>
              </w:numPr>
              <w:spacing w:line="480" w:lineRule="auto"/>
              <w:ind w:firstLineChars="0"/>
              <w:rPr>
                <w:rFonts w:ascii="仿宋" w:hAnsi="仿宋" w:eastAsia="仿宋"/>
                <w:sz w:val="22"/>
              </w:rPr>
            </w:pPr>
            <w:r>
              <w:rPr>
                <w:rFonts w:hint="eastAsia" w:ascii="仿宋" w:hAnsi="仿宋" w:eastAsia="仿宋"/>
                <w:sz w:val="22"/>
              </w:rPr>
              <w:t>提供三年免费质保。</w:t>
            </w:r>
          </w:p>
          <w:p w14:paraId="34A6F8A1">
            <w:pPr>
              <w:spacing w:line="480" w:lineRule="auto"/>
              <w:rPr>
                <w:rFonts w:ascii="仿宋" w:hAnsi="仿宋" w:eastAsia="仿宋"/>
                <w:b/>
                <w:sz w:val="22"/>
              </w:rPr>
            </w:pPr>
            <w:r>
              <w:rPr>
                <w:rFonts w:hint="eastAsia" w:ascii="仿宋" w:hAnsi="仿宋" w:eastAsia="仿宋"/>
                <w:b/>
                <w:sz w:val="22"/>
              </w:rPr>
              <w:t>四、技术要求</w:t>
            </w:r>
          </w:p>
          <w:p w14:paraId="44DCC94F">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为保障馆员及读者免受噪声污染，所投RFID设备通过《GB/T3768-2017》标准检测，设备在运行状态下四周噪声均≤35dB（A），属于低噪音工作模式，提供第三方检测机构出具的符合要求的检测报告（复印件加盖投标人公章，为保障所检测项目的法律效力，测试报告须通过CMA认证）；</w:t>
            </w:r>
          </w:p>
          <w:p w14:paraId="6523C57F">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设备核心模块读写器具备高低温、振动、冲击、抗扰度性能，通过</w:t>
            </w:r>
            <w:r>
              <w:rPr>
                <w:rFonts w:ascii="仿宋" w:hAnsi="仿宋" w:eastAsia="仿宋"/>
                <w:sz w:val="22"/>
              </w:rPr>
              <w:t>GB/T2423.1-2008</w:t>
            </w:r>
            <w:r>
              <w:rPr>
                <w:rFonts w:hint="eastAsia" w:ascii="仿宋" w:hAnsi="仿宋" w:eastAsia="仿宋"/>
                <w:sz w:val="22"/>
              </w:rPr>
              <w:t>、</w:t>
            </w:r>
            <w:r>
              <w:rPr>
                <w:rFonts w:ascii="仿宋" w:hAnsi="仿宋" w:eastAsia="仿宋"/>
                <w:sz w:val="22"/>
              </w:rPr>
              <w:t>GB/T2423.2-2008</w:t>
            </w:r>
            <w:r>
              <w:rPr>
                <w:rFonts w:hint="eastAsia" w:ascii="仿宋" w:hAnsi="仿宋" w:eastAsia="仿宋"/>
                <w:sz w:val="22"/>
              </w:rPr>
              <w:t>、</w:t>
            </w:r>
            <w:r>
              <w:rPr>
                <w:rFonts w:ascii="仿宋" w:hAnsi="仿宋" w:eastAsia="仿宋"/>
                <w:sz w:val="22"/>
              </w:rPr>
              <w:t>GB/T2423.10-2019</w:t>
            </w:r>
            <w:r>
              <w:rPr>
                <w:rFonts w:hint="eastAsia" w:ascii="仿宋" w:hAnsi="仿宋" w:eastAsia="仿宋"/>
                <w:sz w:val="22"/>
              </w:rPr>
              <w:t>、</w:t>
            </w:r>
            <w:r>
              <w:rPr>
                <w:rFonts w:ascii="仿宋" w:hAnsi="仿宋" w:eastAsia="仿宋"/>
                <w:sz w:val="22"/>
              </w:rPr>
              <w:t>GB/T2423.56-2018</w:t>
            </w:r>
            <w:r>
              <w:rPr>
                <w:rFonts w:hint="eastAsia" w:ascii="仿宋" w:hAnsi="仿宋" w:eastAsia="仿宋"/>
                <w:sz w:val="22"/>
              </w:rPr>
              <w:t>、</w:t>
            </w:r>
            <w:r>
              <w:rPr>
                <w:rFonts w:ascii="仿宋" w:hAnsi="仿宋" w:eastAsia="仿宋"/>
                <w:sz w:val="22"/>
              </w:rPr>
              <w:t>GB/T2423.5-2019</w:t>
            </w:r>
            <w:r>
              <w:rPr>
                <w:rFonts w:hint="eastAsia" w:ascii="仿宋" w:hAnsi="仿宋" w:eastAsia="仿宋"/>
                <w:sz w:val="22"/>
              </w:rPr>
              <w:t>标准测试，提供上述标准测试报告复印件（测试报告须通过CNAS及CMA认证）；</w:t>
            </w:r>
            <w:r>
              <w:rPr>
                <w:rFonts w:ascii="仿宋" w:hAnsi="仿宋" w:eastAsia="仿宋"/>
                <w:sz w:val="22"/>
              </w:rPr>
              <w:t xml:space="preserve"> </w:t>
            </w:r>
          </w:p>
          <w:p w14:paraId="285C8543">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设备通过电磁兼容试验，符合《GB17625.1-2012》标准，提供测试报告复印件（测试报告须通过C</w:t>
            </w:r>
            <w:r>
              <w:rPr>
                <w:rFonts w:ascii="仿宋" w:hAnsi="仿宋" w:eastAsia="仿宋"/>
                <w:sz w:val="22"/>
              </w:rPr>
              <w:t>NAS</w:t>
            </w:r>
            <w:r>
              <w:rPr>
                <w:rFonts w:hint="eastAsia" w:ascii="仿宋" w:hAnsi="仿宋" w:eastAsia="仿宋"/>
                <w:sz w:val="22"/>
              </w:rPr>
              <w:t>认证）；</w:t>
            </w:r>
          </w:p>
          <w:p w14:paraId="007112F1">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★所投型号悦享书站设备通过抗扰度（电快速瞬变脉冲群及浪涌冲击）试验，符合《</w:t>
            </w:r>
            <w:r>
              <w:rPr>
                <w:rFonts w:ascii="仿宋" w:hAnsi="仿宋" w:eastAsia="仿宋"/>
                <w:sz w:val="22"/>
              </w:rPr>
              <w:t>GB/T17626.4-2018》、《GB/T 17626.5-2019》</w:t>
            </w:r>
            <w:r>
              <w:rPr>
                <w:rFonts w:hint="eastAsia" w:ascii="仿宋" w:hAnsi="仿宋" w:eastAsia="仿宋"/>
                <w:sz w:val="22"/>
              </w:rPr>
              <w:t>标准，提供相关测试报告复印件（测试报告须通过C</w:t>
            </w:r>
            <w:r>
              <w:rPr>
                <w:rFonts w:ascii="仿宋" w:hAnsi="仿宋" w:eastAsia="仿宋"/>
                <w:sz w:val="22"/>
              </w:rPr>
              <w:t>NAS</w:t>
            </w:r>
            <w:r>
              <w:rPr>
                <w:rFonts w:hint="eastAsia" w:ascii="仿宋" w:hAnsi="仿宋" w:eastAsia="仿宋"/>
                <w:sz w:val="22"/>
              </w:rPr>
              <w:t>及C</w:t>
            </w:r>
            <w:r>
              <w:rPr>
                <w:rFonts w:ascii="仿宋" w:hAnsi="仿宋" w:eastAsia="仿宋"/>
                <w:sz w:val="22"/>
              </w:rPr>
              <w:t>MA</w:t>
            </w:r>
            <w:r>
              <w:rPr>
                <w:rFonts w:hint="eastAsia" w:ascii="仿宋" w:hAnsi="仿宋" w:eastAsia="仿宋"/>
                <w:sz w:val="22"/>
              </w:rPr>
              <w:t>认证）；</w:t>
            </w:r>
            <w:r>
              <w:rPr>
                <w:rFonts w:ascii="仿宋" w:hAnsi="仿宋" w:eastAsia="仿宋"/>
                <w:sz w:val="22"/>
              </w:rPr>
              <w:t xml:space="preserve"> </w:t>
            </w:r>
          </w:p>
          <w:p w14:paraId="0CF0527D">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★所投型号预约书柜通过电压波动与闪烁试验，符合《</w:t>
            </w:r>
            <w:r>
              <w:rPr>
                <w:rFonts w:ascii="仿宋" w:hAnsi="仿宋" w:eastAsia="仿宋"/>
                <w:sz w:val="22"/>
              </w:rPr>
              <w:t>GB/T17625.2-2007》</w:t>
            </w:r>
            <w:r>
              <w:rPr>
                <w:rFonts w:hint="eastAsia" w:ascii="仿宋" w:hAnsi="仿宋" w:eastAsia="仿宋"/>
                <w:sz w:val="22"/>
              </w:rPr>
              <w:t>标准，提供相关测试报告复印件（测试报告须通过C</w:t>
            </w:r>
            <w:r>
              <w:rPr>
                <w:rFonts w:ascii="仿宋" w:hAnsi="仿宋" w:eastAsia="仿宋"/>
                <w:sz w:val="22"/>
              </w:rPr>
              <w:t>NAS</w:t>
            </w:r>
            <w:r>
              <w:rPr>
                <w:rFonts w:hint="eastAsia" w:ascii="仿宋" w:hAnsi="仿宋" w:eastAsia="仿宋"/>
                <w:sz w:val="22"/>
              </w:rPr>
              <w:t>及C</w:t>
            </w:r>
            <w:r>
              <w:rPr>
                <w:rFonts w:ascii="仿宋" w:hAnsi="仿宋" w:eastAsia="仿宋"/>
                <w:sz w:val="22"/>
              </w:rPr>
              <w:t>MA</w:t>
            </w:r>
            <w:r>
              <w:rPr>
                <w:rFonts w:hint="eastAsia" w:ascii="仿宋" w:hAnsi="仿宋" w:eastAsia="仿宋"/>
                <w:sz w:val="22"/>
              </w:rPr>
              <w:t>认证）；</w:t>
            </w:r>
          </w:p>
          <w:p w14:paraId="7A993BF5">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所投RFID设备系统支持自动升级功能，满足获取更新、推送更新及升级等功能需求，且通过GB/T25000.51-2016标准检测，提供满足该标准及功能的软件特性测试报告复印件（测试报告须通过CNAS及CMA认证）；</w:t>
            </w:r>
          </w:p>
          <w:p w14:paraId="639E1455">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设备系统软件须与图书馆现有管理系统无缝对接，提供SIPⅡ接口软件著作权登记证书复印件；</w:t>
            </w:r>
          </w:p>
          <w:p w14:paraId="427EFFBC">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所投型号预约书柜通过无线电型号核准 ，具有型号核准证证书，提供证书复印件；</w:t>
            </w:r>
          </w:p>
          <w:p w14:paraId="1D2596A2">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★所投型号设备具有耐盐雾性，通过</w:t>
            </w:r>
            <w:r>
              <w:rPr>
                <w:rFonts w:ascii="仿宋" w:hAnsi="仿宋" w:eastAsia="仿宋"/>
                <w:sz w:val="22"/>
              </w:rPr>
              <w:t xml:space="preserve"> GB/T2423.17-2008</w:t>
            </w:r>
            <w:r>
              <w:rPr>
                <w:rFonts w:hint="eastAsia" w:ascii="仿宋" w:hAnsi="仿宋" w:eastAsia="仿宋"/>
                <w:sz w:val="22"/>
              </w:rPr>
              <w:t>标准检测，确保在盐雾环境下不生锈，提供该标准检测报告复印件（报告须通过C</w:t>
            </w:r>
            <w:r>
              <w:rPr>
                <w:rFonts w:ascii="仿宋" w:hAnsi="仿宋" w:eastAsia="仿宋"/>
                <w:sz w:val="22"/>
              </w:rPr>
              <w:t>NAS</w:t>
            </w:r>
            <w:r>
              <w:rPr>
                <w:rFonts w:hint="eastAsia" w:ascii="仿宋" w:hAnsi="仿宋" w:eastAsia="仿宋"/>
                <w:sz w:val="22"/>
              </w:rPr>
              <w:t>及C</w:t>
            </w:r>
            <w:r>
              <w:rPr>
                <w:rFonts w:ascii="仿宋" w:hAnsi="仿宋" w:eastAsia="仿宋"/>
                <w:sz w:val="22"/>
              </w:rPr>
              <w:t>MA</w:t>
            </w:r>
            <w:r>
              <w:rPr>
                <w:rFonts w:hint="eastAsia" w:ascii="仿宋" w:hAnsi="仿宋" w:eastAsia="仿宋"/>
                <w:sz w:val="22"/>
              </w:rPr>
              <w:t>认证，试验时间须≥8</w:t>
            </w:r>
            <w:r>
              <w:rPr>
                <w:rFonts w:ascii="仿宋" w:hAnsi="仿宋" w:eastAsia="仿宋"/>
                <w:sz w:val="22"/>
              </w:rPr>
              <w:t>0H</w:t>
            </w:r>
            <w:r>
              <w:rPr>
                <w:rFonts w:hint="eastAsia" w:ascii="仿宋" w:hAnsi="仿宋" w:eastAsia="仿宋"/>
                <w:sz w:val="22"/>
              </w:rPr>
              <w:t>）；</w:t>
            </w:r>
          </w:p>
          <w:p w14:paraId="46107555">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★所投型号预约书柜通过电磁兼容试验，符合 G</w:t>
            </w:r>
            <w:r>
              <w:rPr>
                <w:rFonts w:ascii="仿宋" w:hAnsi="仿宋" w:eastAsia="仿宋"/>
                <w:sz w:val="22"/>
              </w:rPr>
              <w:t>B/T9254.1-2021</w:t>
            </w:r>
            <w:r>
              <w:rPr>
                <w:rFonts w:hint="eastAsia" w:ascii="仿宋" w:hAnsi="仿宋" w:eastAsia="仿宋"/>
                <w:sz w:val="22"/>
              </w:rPr>
              <w:t>及 G</w:t>
            </w:r>
            <w:r>
              <w:rPr>
                <w:rFonts w:ascii="仿宋" w:hAnsi="仿宋" w:eastAsia="仿宋"/>
                <w:sz w:val="22"/>
              </w:rPr>
              <w:t>B/T9254.2-2021</w:t>
            </w:r>
            <w:r>
              <w:rPr>
                <w:rFonts w:hint="eastAsia" w:ascii="仿宋" w:hAnsi="仿宋" w:eastAsia="仿宋"/>
                <w:sz w:val="22"/>
              </w:rPr>
              <w:t>标准，提供该标准检测报告复印件（检测报告须通过C</w:t>
            </w:r>
            <w:r>
              <w:rPr>
                <w:rFonts w:ascii="仿宋" w:hAnsi="仿宋" w:eastAsia="仿宋"/>
                <w:sz w:val="22"/>
              </w:rPr>
              <w:t>NAS</w:t>
            </w:r>
            <w:r>
              <w:rPr>
                <w:rFonts w:hint="eastAsia" w:ascii="仿宋" w:hAnsi="仿宋" w:eastAsia="仿宋"/>
                <w:sz w:val="22"/>
              </w:rPr>
              <w:t>认证）；</w:t>
            </w:r>
          </w:p>
          <w:p w14:paraId="0072055D">
            <w:pPr>
              <w:pStyle w:val="10"/>
              <w:numPr>
                <w:ilvl w:val="0"/>
                <w:numId w:val="4"/>
              </w:numPr>
              <w:autoSpaceDE w:val="0"/>
              <w:autoSpaceDN w:val="0"/>
              <w:adjustRightInd w:val="0"/>
              <w:spacing w:line="480" w:lineRule="auto"/>
              <w:ind w:firstLineChars="0"/>
              <w:jc w:val="left"/>
              <w:rPr>
                <w:rFonts w:ascii="仿宋" w:hAnsi="仿宋" w:eastAsia="仿宋"/>
                <w:sz w:val="22"/>
              </w:rPr>
            </w:pPr>
            <w:r>
              <w:rPr>
                <w:rFonts w:hint="eastAsia" w:ascii="仿宋" w:hAnsi="仿宋" w:eastAsia="仿宋"/>
                <w:sz w:val="22"/>
              </w:rPr>
              <w:t>★所投型号设备通过射频参数试验，设备的频率误差、发射功率、占用宽带、邻近信道功率、带外辐射等项目经检测合格，提供上述五项目的检测报告复印件（测试报告须通过</w:t>
            </w:r>
            <w:r>
              <w:rPr>
                <w:rFonts w:ascii="仿宋" w:hAnsi="仿宋" w:eastAsia="仿宋"/>
                <w:sz w:val="22"/>
              </w:rPr>
              <w:t>CNAS认证）</w:t>
            </w:r>
            <w:r>
              <w:rPr>
                <w:rFonts w:hint="eastAsia" w:ascii="仿宋" w:hAnsi="仿宋" w:eastAsia="仿宋"/>
                <w:sz w:val="22"/>
              </w:rPr>
              <w:t>；</w:t>
            </w:r>
            <w:r>
              <w:rPr>
                <w:rFonts w:ascii="仿宋" w:hAnsi="仿宋" w:eastAsia="仿宋"/>
                <w:sz w:val="22"/>
              </w:rPr>
              <w:t xml:space="preserve"> </w:t>
            </w:r>
          </w:p>
          <w:p w14:paraId="02C28209">
            <w:pPr>
              <w:pStyle w:val="10"/>
              <w:numPr>
                <w:ilvl w:val="0"/>
                <w:numId w:val="4"/>
              </w:numPr>
              <w:spacing w:line="480" w:lineRule="auto"/>
              <w:ind w:firstLineChars="0"/>
              <w:rPr>
                <w:rFonts w:ascii="仿宋" w:hAnsi="仿宋" w:eastAsia="仿宋" w:cs="微软雅黑"/>
                <w:color w:val="FF0000"/>
                <w:sz w:val="22"/>
              </w:rPr>
            </w:pPr>
            <w:r>
              <w:rPr>
                <w:rFonts w:hint="eastAsia" w:ascii="仿宋" w:hAnsi="仿宋" w:eastAsia="仿宋"/>
                <w:sz w:val="22"/>
              </w:rPr>
              <w:t>所投型号设备节能降耗，待机工作状态下功率均须低于</w:t>
            </w:r>
            <w:r>
              <w:rPr>
                <w:rFonts w:ascii="仿宋" w:hAnsi="仿宋" w:eastAsia="仿宋"/>
                <w:sz w:val="22"/>
              </w:rPr>
              <w:t>60W，且通过《GB4943-2022》标准检测，提供检测报告复印件（测试报告须通过CNAS、CMA认证）</w:t>
            </w:r>
            <w:r>
              <w:rPr>
                <w:rFonts w:hint="eastAsia" w:ascii="仿宋" w:hAnsi="仿宋" w:eastAsia="仿宋"/>
                <w:sz w:val="22"/>
              </w:rPr>
              <w:t>。</w:t>
            </w:r>
          </w:p>
        </w:tc>
      </w:tr>
    </w:tbl>
    <w:p w14:paraId="4450DC81">
      <w:pPr>
        <w:spacing w:line="480" w:lineRule="auto"/>
        <w:rPr>
          <w:rFonts w:ascii="仿宋" w:hAnsi="仿宋" w:eastAsia="仿宋"/>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ourceHanSansCN-Regular">
    <w:altName w:val="微软雅黑"/>
    <w:panose1 w:val="020B0604020202020204"/>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F6F5B"/>
    <w:multiLevelType w:val="multilevel"/>
    <w:tmpl w:val="305F6F5B"/>
    <w:lvl w:ilvl="0" w:tentative="0">
      <w:start w:val="1"/>
      <w:numFmt w:val="decimal"/>
      <w:lvlText w:val="%1."/>
      <w:lvlJc w:val="left"/>
      <w:pPr>
        <w:ind w:left="440" w:hanging="44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79601F"/>
    <w:multiLevelType w:val="multilevel"/>
    <w:tmpl w:val="7679601F"/>
    <w:lvl w:ilvl="0" w:tentative="0">
      <w:start w:val="1"/>
      <w:numFmt w:val="decimal"/>
      <w:lvlText w:val="%1."/>
      <w:lvlJc w:val="left"/>
      <w:pPr>
        <w:ind w:left="440" w:hanging="44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652358"/>
    <w:multiLevelType w:val="multilevel"/>
    <w:tmpl w:val="7765235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D4D45F5"/>
    <w:multiLevelType w:val="multilevel"/>
    <w:tmpl w:val="7D4D45F5"/>
    <w:lvl w:ilvl="0" w:tentative="0">
      <w:start w:val="1"/>
      <w:numFmt w:val="decimal"/>
      <w:lvlText w:val="%1."/>
      <w:lvlJc w:val="left"/>
      <w:pPr>
        <w:ind w:left="440" w:hanging="44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jAxNmFhMTUzODA0MGE3MDZhYjQwN2JlYjBkNDEifQ=="/>
  </w:docVars>
  <w:rsids>
    <w:rsidRoot w:val="0066210D"/>
    <w:rsid w:val="001C5916"/>
    <w:rsid w:val="0066210D"/>
    <w:rsid w:val="009F3DD6"/>
    <w:rsid w:val="00A57E08"/>
    <w:rsid w:val="0D266C04"/>
    <w:rsid w:val="0DDC60BB"/>
    <w:rsid w:val="14622244"/>
    <w:rsid w:val="210F3242"/>
    <w:rsid w:val="3DBC665E"/>
    <w:rsid w:val="478D1109"/>
    <w:rsid w:val="55506F44"/>
    <w:rsid w:val="61CC71B9"/>
    <w:rsid w:val="69340343"/>
    <w:rsid w:val="7783641E"/>
    <w:rsid w:val="7D1F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Calibri" w:hAnsi="Calibri"/>
      <w:sz w:val="21"/>
      <w:szCs w:val="22"/>
    </w:rPr>
  </w:style>
  <w:style w:type="paragraph" w:styleId="3">
    <w:name w:val="Body Text Indent"/>
    <w:basedOn w:val="1"/>
    <w:qFormat/>
    <w:uiPriority w:val="0"/>
    <w:pPr>
      <w:spacing w:line="200" w:lineRule="atLeast"/>
      <w:ind w:firstLine="300"/>
    </w:pPr>
    <w:rPr>
      <w:rFonts w:ascii="宋体" w:hAnsi="Courier New" w:eastAsia="宋体" w:cs="Times New Roman"/>
      <w:spacing w:val="-4"/>
      <w:sz w:val="18"/>
      <w:szCs w:val="20"/>
    </w:rPr>
  </w:style>
  <w:style w:type="paragraph" w:styleId="5">
    <w:name w:val="Normal Indent"/>
    <w:basedOn w:val="1"/>
    <w:qFormat/>
    <w:uiPriority w:val="0"/>
    <w:pPr>
      <w:ind w:firstLine="420" w:firstLine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link w:val="12"/>
    <w:qFormat/>
    <w:uiPriority w:val="34"/>
    <w:pPr>
      <w:ind w:firstLine="420" w:firstLineChars="200"/>
    </w:pPr>
  </w:style>
  <w:style w:type="paragraph" w:customStyle="1" w:styleId="11">
    <w:name w:val="List Paragraph*"/>
    <w:basedOn w:val="1"/>
    <w:qFormat/>
    <w:uiPriority w:val="99"/>
    <w:pPr>
      <w:ind w:firstLine="420"/>
    </w:pPr>
    <w:rPr>
      <w:rFonts w:ascii="Times New Roman" w:hAnsi="Times New Roman"/>
      <w:kern w:val="1"/>
    </w:rPr>
  </w:style>
  <w:style w:type="character" w:customStyle="1" w:styleId="12">
    <w:name w:val="列表段落 字符"/>
    <w:link w:val="10"/>
    <w:qFormat/>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1407</Words>
  <Characters>1760</Characters>
  <Lines>13</Lines>
  <Paragraphs>3</Paragraphs>
  <TotalTime>9</TotalTime>
  <ScaleCrop>false</ScaleCrop>
  <LinksUpToDate>false</LinksUpToDate>
  <CharactersWithSpaces>1770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invengo</dc:creator>
  <cp:lastModifiedBy>米米</cp:lastModifiedBy>
  <dcterms:modified xsi:type="dcterms:W3CDTF">2025-06-10T06:12:03Z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B837F982A02945D881B40D2615927DA3_13</vt:lpwstr>
  </property>
  <property fmtid="{D5CDD505-2E9C-101B-9397-08002B2CF9AE}" pid="4" name="KSOTemplateDocerSaveRecord">
    <vt:lpwstr>eyJoZGlkIjoiYjc1ZTRkMjc1MzU0OTcwMmM4MDg1NzFlMzQ3YTljMmQiLCJ1c2VySWQiOiIyNTE0OTYzMDUifQ==</vt:lpwstr>
  </property>
</Properties>
</file>